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EC" w:rsidRDefault="00E235EC" w:rsidP="00E235EC">
      <w:pPr>
        <w:pStyle w:val="TableofFigures"/>
        <w:rPr>
          <w:b/>
          <w:i/>
        </w:rPr>
      </w:pPr>
      <w:bookmarkStart w:id="0" w:name="_GoBack"/>
      <w:bookmarkEnd w:id="0"/>
      <w:r w:rsidRPr="003B0DEC">
        <w:t xml:space="preserve">Md. Ashaduzzaman, </w:t>
      </w:r>
      <w:r w:rsidRPr="003B0DEC">
        <w:rPr>
          <w:shd w:val="clear" w:color="auto" w:fill="FFFFFF"/>
        </w:rPr>
        <w:t xml:space="preserve">Jebarajakirthy, C., </w:t>
      </w:r>
      <w:r w:rsidRPr="003B0DEC">
        <w:rPr>
          <w:b/>
          <w:shd w:val="clear" w:color="auto" w:fill="FFFFFF"/>
        </w:rPr>
        <w:t>Das, M.,</w:t>
      </w:r>
      <w:r w:rsidRPr="003B0DEC">
        <w:rPr>
          <w:shd w:val="clear" w:color="auto" w:fill="FFFFFF"/>
        </w:rPr>
        <w:t xml:space="preserve"> and </w:t>
      </w:r>
      <w:r w:rsidRPr="003B0DEC">
        <w:t>Shankar, A. (2020</w:t>
      </w:r>
      <w:r>
        <w:t>, Forthcoming</w:t>
      </w:r>
      <w:r w:rsidRPr="003B0DEC">
        <w:t xml:space="preserve">). Acculturation and apparel store loyalty among migrants in Western countries. </w:t>
      </w:r>
      <w:r w:rsidRPr="003B0DEC">
        <w:rPr>
          <w:b/>
          <w:i/>
        </w:rPr>
        <w:t>Journal of Marketing Management, ABDC ‘A’, ABS 2, SSCI, UGC Care, Science Direct impact factor 1.72.</w:t>
      </w:r>
    </w:p>
    <w:p w:rsidR="00E235EC" w:rsidRPr="00B10BF1" w:rsidRDefault="00E235EC" w:rsidP="00E235EC">
      <w:pPr>
        <w:rPr>
          <w:lang w:val="en-AU" w:eastAsia="zh-CN"/>
        </w:rPr>
      </w:pP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D14BE3">
        <w:rPr>
          <w:rFonts w:ascii="NexusSansWebPro" w:hAnsi="NexusSansWebPro"/>
          <w:shd w:val="clear" w:color="auto" w:fill="FFFFFF"/>
        </w:rPr>
        <w:t xml:space="preserve">Jebarajakirthy, C. and </w:t>
      </w:r>
      <w:r w:rsidRPr="00D14BE3">
        <w:rPr>
          <w:rFonts w:ascii="NexusSansWebPro" w:hAnsi="NexusSansWebPro"/>
          <w:b/>
          <w:shd w:val="clear" w:color="auto" w:fill="FFFFFF"/>
        </w:rPr>
        <w:t>Das, M.</w:t>
      </w:r>
      <w:r w:rsidRPr="00D14BE3">
        <w:rPr>
          <w:rFonts w:ascii="NexusSansWebPro" w:hAnsi="NexusSansWebPro"/>
          <w:shd w:val="clear" w:color="auto" w:fill="FFFFFF"/>
        </w:rPr>
        <w:t xml:space="preserve"> (2020). How Self-Construal Drives Intention for Status Consumption: A Moderated Mediated Mechanism. </w:t>
      </w:r>
      <w:r w:rsidRPr="00D14BE3">
        <w:rPr>
          <w:rFonts w:ascii="NexusSansWebPro" w:hAnsi="NexusSansWebPro"/>
          <w:b/>
          <w:i/>
          <w:shd w:val="clear" w:color="auto" w:fill="FFFFFF"/>
        </w:rPr>
        <w:t>Journal of Retailing and Consumer Services,</w:t>
      </w:r>
      <w:r w:rsidRPr="00D14BE3">
        <w:rPr>
          <w:rFonts w:ascii="NexusSansWebPro" w:hAnsi="NexusSansWebPro"/>
          <w:shd w:val="clear" w:color="auto" w:fill="FFFFFF"/>
        </w:rPr>
        <w:t xml:space="preserve"> </w:t>
      </w:r>
      <w:r w:rsidRPr="00D14BE3">
        <w:rPr>
          <w:rFonts w:ascii="NexusSansWebPro" w:hAnsi="NexusSansWebPro"/>
          <w:b/>
          <w:shd w:val="clear" w:color="auto" w:fill="FFFFFF"/>
        </w:rPr>
        <w:t>55</w:t>
      </w:r>
      <w:r w:rsidRPr="00D14BE3">
        <w:rPr>
          <w:rFonts w:ascii="NexusSansWebPro" w:hAnsi="NexusSansWebPro"/>
          <w:shd w:val="clear" w:color="auto" w:fill="FFFFFF"/>
        </w:rPr>
        <w:t xml:space="preserve"> (Forthcoming</w:t>
      </w:r>
      <w:r w:rsidRPr="00B831A9">
        <w:rPr>
          <w:rFonts w:ascii="NexusSansWebPro" w:hAnsi="NexusSansWebPro"/>
          <w:i/>
          <w:shd w:val="clear" w:color="auto" w:fill="FFFFFF"/>
        </w:rPr>
        <w:t xml:space="preserve">). </w:t>
      </w:r>
      <w:r w:rsidRPr="00B831A9">
        <w:rPr>
          <w:rFonts w:ascii="NexusSansWebPro" w:hAnsi="NexusSansWebPro"/>
          <w:b/>
          <w:i/>
          <w:shd w:val="clear" w:color="auto" w:fill="FFFFFF"/>
        </w:rPr>
        <w:t xml:space="preserve">ABDC </w:t>
      </w:r>
      <w:r w:rsidRPr="00B831A9">
        <w:rPr>
          <w:rFonts w:ascii="NexusSansWebPro" w:hAnsi="NexusSansWebPro" w:hint="eastAsia"/>
          <w:b/>
          <w:i/>
          <w:shd w:val="clear" w:color="auto" w:fill="FFFFFF"/>
        </w:rPr>
        <w:t>‘</w:t>
      </w:r>
      <w:r w:rsidRPr="00B831A9">
        <w:rPr>
          <w:rFonts w:ascii="NexusSansWebPro" w:hAnsi="NexusSansWebPro"/>
          <w:b/>
          <w:i/>
          <w:shd w:val="clear" w:color="auto" w:fill="FFFFFF"/>
        </w:rPr>
        <w:t>A</w:t>
      </w:r>
      <w:r w:rsidRPr="00B831A9">
        <w:rPr>
          <w:rFonts w:ascii="NexusSansWebPro" w:hAnsi="NexusSansWebPro" w:hint="eastAsia"/>
          <w:b/>
          <w:i/>
          <w:shd w:val="clear" w:color="auto" w:fill="FFFFFF"/>
        </w:rPr>
        <w:t>’</w:t>
      </w:r>
      <w:r w:rsidRPr="00B831A9">
        <w:rPr>
          <w:rFonts w:ascii="NexusSansWebPro" w:hAnsi="NexusSansWebPro"/>
          <w:b/>
          <w:i/>
          <w:shd w:val="clear" w:color="auto" w:fill="FFFFFF"/>
        </w:rPr>
        <w:t>, ABS 2, UGC Care, Science Direct impact factor 3.58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E778D">
        <w:rPr>
          <w:rFonts w:ascii="NexusSansWebPro" w:hAnsi="NexusSansWebPro"/>
          <w:b/>
          <w:shd w:val="clear" w:color="auto" w:fill="FFFFFF"/>
        </w:rPr>
        <w:t>Das, M.</w:t>
      </w:r>
      <w:r w:rsidRPr="00EE778D">
        <w:rPr>
          <w:rFonts w:ascii="NexusSansWebPro" w:hAnsi="NexusSansWebPro"/>
          <w:shd w:val="clear" w:color="auto" w:fill="FFFFFF"/>
        </w:rPr>
        <w:t xml:space="preserve"> and Jebarajakirthy, C. (2020, Accepted). Impact of Acculturation to Western Culture (AWC) on the Western Fashion Luxury Consumption among Gen-Y Consumers in the Asia Pacific region.</w:t>
      </w:r>
      <w:r w:rsidRPr="00EE778D">
        <w:rPr>
          <w:rFonts w:ascii="NexusSansWebPro" w:hAnsi="NexusSansWebPro"/>
          <w:b/>
          <w:i/>
          <w:shd w:val="clear" w:color="auto" w:fill="FFFFFF"/>
        </w:rPr>
        <w:t xml:space="preserve"> Journal of Retailing and Consumer Services,</w:t>
      </w:r>
      <w:r w:rsidRPr="00EE778D">
        <w:rPr>
          <w:rFonts w:ascii="NexusSansWebPro" w:hAnsi="NexusSansWebPro"/>
          <w:shd w:val="clear" w:color="auto" w:fill="FFFFFF"/>
        </w:rPr>
        <w:t xml:space="preserve"> </w:t>
      </w:r>
      <w:r w:rsidRPr="00B831A9">
        <w:rPr>
          <w:rFonts w:ascii="NexusSansWebPro" w:hAnsi="NexusSansWebPro"/>
          <w:b/>
          <w:i/>
          <w:shd w:val="clear" w:color="auto" w:fill="FFFFFF"/>
        </w:rPr>
        <w:t xml:space="preserve">ABDC </w:t>
      </w:r>
      <w:r w:rsidRPr="00B831A9">
        <w:rPr>
          <w:rFonts w:ascii="NexusSansWebPro" w:hAnsi="NexusSansWebPro" w:hint="eastAsia"/>
          <w:b/>
          <w:i/>
          <w:shd w:val="clear" w:color="auto" w:fill="FFFFFF"/>
        </w:rPr>
        <w:t>‘</w:t>
      </w:r>
      <w:r w:rsidRPr="00B831A9">
        <w:rPr>
          <w:rFonts w:ascii="NexusSansWebPro" w:hAnsi="NexusSansWebPro"/>
          <w:b/>
          <w:i/>
          <w:shd w:val="clear" w:color="auto" w:fill="FFFFFF"/>
        </w:rPr>
        <w:t>A</w:t>
      </w:r>
      <w:r w:rsidRPr="00B831A9">
        <w:rPr>
          <w:rFonts w:ascii="NexusSansWebPro" w:hAnsi="NexusSansWebPro" w:hint="eastAsia"/>
          <w:b/>
          <w:i/>
          <w:shd w:val="clear" w:color="auto" w:fill="FFFFFF"/>
        </w:rPr>
        <w:t>’</w:t>
      </w:r>
      <w:r w:rsidRPr="00B831A9">
        <w:rPr>
          <w:rFonts w:ascii="NexusSansWebPro" w:hAnsi="NexusSansWebPro"/>
          <w:b/>
          <w:i/>
          <w:shd w:val="clear" w:color="auto" w:fill="FFFFFF"/>
        </w:rPr>
        <w:t>, ABS 2, UGC Care, Science Direct impact factor 4.2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9576E5">
        <w:rPr>
          <w:b/>
        </w:rPr>
        <w:t>Das, M.,</w:t>
      </w:r>
      <w:r w:rsidRPr="009576E5">
        <w:t xml:space="preserve"> </w:t>
      </w:r>
      <w:r>
        <w:t>and</w:t>
      </w:r>
      <w:r w:rsidRPr="009576E5">
        <w:t xml:space="preserve"> Mukherjee, D. (2020). Ethnic Identity Impact on Consumers’ Ethnocentric Tendencies: The Moderating Role of Acculturation and Materialism. </w:t>
      </w:r>
      <w:r w:rsidRPr="00B831A9">
        <w:rPr>
          <w:b/>
          <w:i/>
        </w:rPr>
        <w:t>Management and Labour Studies</w:t>
      </w:r>
      <w:r w:rsidRPr="00B831A9">
        <w:rPr>
          <w:i/>
        </w:rPr>
        <w:t xml:space="preserve">, 45(1), 31–53. </w:t>
      </w:r>
      <w:r w:rsidRPr="00B831A9">
        <w:rPr>
          <w:b/>
          <w:i/>
        </w:rPr>
        <w:t>ABDC ‘C’, Scopus, UGC Care.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9576E5">
        <w:rPr>
          <w:b/>
          <w:color w:val="333333"/>
          <w:shd w:val="clear" w:color="auto" w:fill="FFFFFF"/>
        </w:rPr>
        <w:t>Das, M.,</w:t>
      </w:r>
      <w:r w:rsidRPr="009576E5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and</w:t>
      </w:r>
      <w:r w:rsidRPr="009576E5">
        <w:rPr>
          <w:color w:val="333333"/>
          <w:shd w:val="clear" w:color="auto" w:fill="FFFFFF"/>
        </w:rPr>
        <w:t xml:space="preserve"> Mukherjee, D. (2019). Cosmopolitanism, Materialism, Consumer Ethnocentrism and Consumer Behaviour: Evidence from Aboriginal Tripuri Tribe of India. </w:t>
      </w:r>
      <w:r w:rsidRPr="003A46AB">
        <w:rPr>
          <w:b/>
          <w:i/>
          <w:iCs/>
          <w:color w:val="333333"/>
          <w:shd w:val="clear" w:color="auto" w:fill="FFFFFF"/>
        </w:rPr>
        <w:t>IIM Kozhikode Society &amp; Management Review</w:t>
      </w:r>
      <w:r w:rsidRPr="009576E5">
        <w:rPr>
          <w:color w:val="333333"/>
          <w:shd w:val="clear" w:color="auto" w:fill="FFFFFF"/>
        </w:rPr>
        <w:t>, </w:t>
      </w:r>
      <w:r w:rsidRPr="009576E5">
        <w:rPr>
          <w:i/>
          <w:iCs/>
          <w:color w:val="333333"/>
          <w:shd w:val="clear" w:color="auto" w:fill="FFFFFF"/>
        </w:rPr>
        <w:t>8</w:t>
      </w:r>
      <w:r w:rsidRPr="009576E5">
        <w:rPr>
          <w:color w:val="333333"/>
          <w:shd w:val="clear" w:color="auto" w:fill="FFFFFF"/>
        </w:rPr>
        <w:t>(2), 104–119.</w:t>
      </w:r>
      <w:r>
        <w:t xml:space="preserve"> </w:t>
      </w:r>
      <w:r w:rsidRPr="00B831A9">
        <w:rPr>
          <w:b/>
          <w:i/>
        </w:rPr>
        <w:t>ABDC ‘C’, ABS 2, Science Direct: Emerging Sources Citation Index (ESCI), UGC Care.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</w:rPr>
      </w:pPr>
      <w:r>
        <w:rPr>
          <w:b/>
        </w:rPr>
        <w:t xml:space="preserve">Das, M. </w:t>
      </w:r>
      <w:r w:rsidRPr="00F472F5">
        <w:t>(2019).</w:t>
      </w:r>
      <w:r>
        <w:rPr>
          <w:b/>
        </w:rPr>
        <w:t xml:space="preserve"> </w:t>
      </w:r>
      <w:r w:rsidRPr="00F472F5">
        <w:t>Dual-ethnocentrism Impact on Purchase Likelihood of Home and Host Country Products: A Quest</w:t>
      </w:r>
      <w:r>
        <w:rPr>
          <w:b/>
        </w:rPr>
        <w:t xml:space="preserve">. </w:t>
      </w:r>
      <w:r w:rsidRPr="00B10BF1">
        <w:rPr>
          <w:b/>
          <w:i/>
        </w:rPr>
        <w:t xml:space="preserve">Indore Management Journal (A Journal of IIM Indore), </w:t>
      </w:r>
      <w:r w:rsidRPr="00B10BF1">
        <w:rPr>
          <w:i/>
        </w:rPr>
        <w:t>11(1), 70-82.</w:t>
      </w:r>
      <w:r w:rsidRPr="00B10BF1">
        <w:rPr>
          <w:b/>
          <w:i/>
        </w:rPr>
        <w:t xml:space="preserve"> 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Das, M. </w:t>
      </w:r>
      <w:r w:rsidRPr="00F472F5">
        <w:t>(2018).</w:t>
      </w:r>
      <w:r>
        <w:rPr>
          <w:b/>
        </w:rPr>
        <w:t xml:space="preserve"> </w:t>
      </w:r>
      <w:r w:rsidRPr="003A46AB">
        <w:t>Impact of Ethic Identity and Acculturation on Consumer Behaviour: Evidence of Generation Y from Rural India</w:t>
      </w:r>
      <w:r>
        <w:t>.</w:t>
      </w:r>
      <w:r w:rsidRPr="003A46AB">
        <w:rPr>
          <w:b/>
        </w:rPr>
        <w:t xml:space="preserve"> </w:t>
      </w:r>
      <w:r w:rsidRPr="00B10BF1">
        <w:rPr>
          <w:b/>
          <w:i/>
        </w:rPr>
        <w:t xml:space="preserve">Indore Management Journal (A Journal of IIM Indore), </w:t>
      </w:r>
      <w:r w:rsidRPr="00B10BF1">
        <w:rPr>
          <w:i/>
        </w:rPr>
        <w:t>10(1), 1-18.</w:t>
      </w:r>
      <w:r>
        <w:t xml:space="preserve"> </w:t>
      </w:r>
    </w:p>
    <w:p w:rsidR="00E235EC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</w:pPr>
      <w:r w:rsidRPr="003A46AB">
        <w:rPr>
          <w:b/>
        </w:rPr>
        <w:t>Das, M.</w:t>
      </w:r>
      <w:r>
        <w:t xml:space="preserve"> and Saha, V.</w:t>
      </w:r>
      <w:r w:rsidRPr="009576E5">
        <w:t xml:space="preserve"> (2018).</w:t>
      </w:r>
      <w:r>
        <w:t xml:space="preserve"> Impact Assessment of Consumer Demographics on Rural Consumers’ Ethnocentric Tendencies (CE) and Social Comparison Information (ATSCI) Habits, </w:t>
      </w:r>
      <w:r w:rsidRPr="00B10BF1">
        <w:rPr>
          <w:b/>
          <w:i/>
        </w:rPr>
        <w:t>Indian Journal of Marketing, 48(8), 37-52. ABDC ‘C’, Scopus, UGC Care.</w:t>
      </w:r>
    </w:p>
    <w:p w:rsidR="00E235EC" w:rsidRPr="003A46AB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</w:pPr>
      <w:r w:rsidRPr="003A46AB">
        <w:rPr>
          <w:b/>
        </w:rPr>
        <w:t>Das, M.</w:t>
      </w:r>
      <w:r>
        <w:t xml:space="preserve"> and Mukherjee, D. (2018).</w:t>
      </w:r>
      <w:r w:rsidRPr="009A717A">
        <w:t xml:space="preserve"> </w:t>
      </w:r>
      <w:r w:rsidRPr="00F472F5">
        <w:t>Consumer Ethnocentrism, Status and Consumption Behaviour: evidence from a Communist Govern State in a Transnational Economy,</w:t>
      </w:r>
      <w:r w:rsidRPr="00F472F5">
        <w:rPr>
          <w:b/>
        </w:rPr>
        <w:t xml:space="preserve"> </w:t>
      </w:r>
      <w:r w:rsidRPr="00B10BF1">
        <w:rPr>
          <w:b/>
          <w:i/>
        </w:rPr>
        <w:t>International Journal of Management Development, 2(1)</w:t>
      </w:r>
      <w:r w:rsidRPr="00B10BF1">
        <w:rPr>
          <w:i/>
        </w:rPr>
        <w:t xml:space="preserve">, 10-33 </w:t>
      </w:r>
      <w:r w:rsidRPr="00B10BF1">
        <w:rPr>
          <w:b/>
          <w:i/>
        </w:rPr>
        <w:t>(A UGC Referred Journal).</w:t>
      </w:r>
      <w:r w:rsidRPr="00F472F5">
        <w:rPr>
          <w:b/>
        </w:rPr>
        <w:t xml:space="preserve"> 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F472F5">
        <w:rPr>
          <w:b/>
        </w:rPr>
        <w:lastRenderedPageBreak/>
        <w:t>Das, M.,</w:t>
      </w:r>
      <w:r>
        <w:t xml:space="preserve"> and Saha, V. (2017). </w:t>
      </w:r>
      <w:r w:rsidRPr="00DF19BD">
        <w:t>E</w:t>
      </w:r>
      <w:r>
        <w:t>thnocentrism</w:t>
      </w:r>
      <w:r w:rsidRPr="00DF19BD">
        <w:t xml:space="preserve"> (CET), S</w:t>
      </w:r>
      <w:r>
        <w:t>ocial</w:t>
      </w:r>
      <w:r w:rsidRPr="00DF19BD">
        <w:t xml:space="preserve"> C</w:t>
      </w:r>
      <w:r>
        <w:t>omparison</w:t>
      </w:r>
      <w:r w:rsidRPr="00DF19BD">
        <w:t xml:space="preserve"> (ATSCI) </w:t>
      </w:r>
      <w:r>
        <w:t>and</w:t>
      </w:r>
      <w:r w:rsidRPr="00DF19BD">
        <w:t xml:space="preserve"> M</w:t>
      </w:r>
      <w:r>
        <w:t>arketing</w:t>
      </w:r>
      <w:r w:rsidRPr="00DF19BD">
        <w:t xml:space="preserve"> S</w:t>
      </w:r>
      <w:r>
        <w:t>trategy</w:t>
      </w:r>
      <w:r w:rsidRPr="00DF19BD">
        <w:t>: E</w:t>
      </w:r>
      <w:r>
        <w:t>vidence</w:t>
      </w:r>
      <w:r w:rsidRPr="00DF19BD">
        <w:t xml:space="preserve"> from R</w:t>
      </w:r>
      <w:r>
        <w:t>ural</w:t>
      </w:r>
      <w:r w:rsidRPr="00DF19BD">
        <w:t xml:space="preserve"> I</w:t>
      </w:r>
      <w:r>
        <w:t xml:space="preserve">ndia, </w:t>
      </w:r>
      <w:r w:rsidRPr="00B10BF1">
        <w:rPr>
          <w:b/>
          <w:i/>
        </w:rPr>
        <w:t>South Asian Journal of Management,</w:t>
      </w:r>
      <w:r w:rsidRPr="00B10BF1">
        <w:rPr>
          <w:i/>
        </w:rPr>
        <w:t xml:space="preserve"> </w:t>
      </w:r>
      <w:r w:rsidRPr="00B10BF1">
        <w:rPr>
          <w:b/>
          <w:i/>
        </w:rPr>
        <w:t>24(1)</w:t>
      </w:r>
      <w:r w:rsidRPr="00B10BF1">
        <w:rPr>
          <w:i/>
        </w:rPr>
        <w:t xml:space="preserve">, 141-164. </w:t>
      </w:r>
      <w:r w:rsidRPr="00B10BF1">
        <w:rPr>
          <w:b/>
          <w:i/>
        </w:rPr>
        <w:t>ABDC ‘C’</w:t>
      </w:r>
      <w:r w:rsidRPr="00B10BF1">
        <w:rPr>
          <w:i/>
        </w:rPr>
        <w:t xml:space="preserve"> </w:t>
      </w:r>
      <w:r w:rsidRPr="00B10BF1">
        <w:rPr>
          <w:b/>
          <w:i/>
        </w:rPr>
        <w:t>(previously UGC Referred Journal)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3A46AB">
        <w:rPr>
          <w:b/>
        </w:rPr>
        <w:t>Das, M.</w:t>
      </w:r>
      <w:r>
        <w:t xml:space="preserve"> and Chanda, M. (2017).</w:t>
      </w:r>
      <w:r w:rsidRPr="009A717A">
        <w:t xml:space="preserve"> Construction of Personality Measurement Scale based on ‘GunaTraya’ concepts of Bhagavad-Gita,</w:t>
      </w:r>
      <w:r w:rsidRPr="00F472F5">
        <w:rPr>
          <w:b/>
        </w:rPr>
        <w:t xml:space="preserve"> </w:t>
      </w:r>
      <w:r w:rsidRPr="00B10BF1">
        <w:rPr>
          <w:b/>
          <w:i/>
        </w:rPr>
        <w:t>Purushartha, 10(1)</w:t>
      </w:r>
      <w:r w:rsidRPr="00B10BF1">
        <w:rPr>
          <w:i/>
        </w:rPr>
        <w:t>, 1-19.</w:t>
      </w:r>
      <w:r w:rsidRPr="00B10BF1">
        <w:rPr>
          <w:b/>
          <w:i/>
        </w:rPr>
        <w:t xml:space="preserve">  Indexed in Scopus, UGC Care.</w:t>
      </w:r>
    </w:p>
    <w:p w:rsidR="00E235EC" w:rsidRPr="00B10BF1" w:rsidRDefault="00E235EC" w:rsidP="00E235EC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EE778D">
        <w:rPr>
          <w:b/>
        </w:rPr>
        <w:t xml:space="preserve">Das, M. </w:t>
      </w:r>
      <w:r w:rsidRPr="00EE778D">
        <w:t>(2015).</w:t>
      </w:r>
      <w:r w:rsidRPr="00EE778D">
        <w:rPr>
          <w:b/>
        </w:rPr>
        <w:t xml:space="preserve"> </w:t>
      </w:r>
      <w:r w:rsidRPr="00EE778D">
        <w:t>Consumer Demographics and Environmental Responsibility: An Empirical Investigation of the Consumers’ of Tripura, a State in North-East India.</w:t>
      </w:r>
      <w:r w:rsidRPr="00EE778D">
        <w:rPr>
          <w:b/>
        </w:rPr>
        <w:t xml:space="preserve"> </w:t>
      </w:r>
      <w:r w:rsidRPr="00B10BF1">
        <w:rPr>
          <w:b/>
          <w:i/>
        </w:rPr>
        <w:t>Prabandhan: Indian Journal of Management, 8(5), 43-50. Scopus Indexed, UGC Care.</w:t>
      </w:r>
    </w:p>
    <w:p w:rsidR="008238FD" w:rsidRDefault="008238FD"/>
    <w:sectPr w:rsidR="008238FD" w:rsidSect="00F63948">
      <w:pgSz w:w="12240" w:h="15840" w:code="1"/>
      <w:pgMar w:top="1412" w:right="1440" w:bottom="86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usSansWe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75C4"/>
    <w:multiLevelType w:val="hybridMultilevel"/>
    <w:tmpl w:val="73BC65FE"/>
    <w:lvl w:ilvl="0" w:tplc="2A883124">
      <w:start w:val="1"/>
      <w:numFmt w:val="decimal"/>
      <w:pStyle w:val="TableofFigures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EC"/>
    <w:rsid w:val="008238FD"/>
    <w:rsid w:val="00C13331"/>
    <w:rsid w:val="00D60BD4"/>
    <w:rsid w:val="00E235EC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55A7-B61B-4971-A6DC-A9BE4F47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EC"/>
    <w:pPr>
      <w:ind w:left="720"/>
    </w:p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E235EC"/>
    <w:pPr>
      <w:numPr>
        <w:numId w:val="1"/>
      </w:numPr>
      <w:spacing w:line="259" w:lineRule="auto"/>
    </w:pPr>
    <w:rPr>
      <w:rFonts w:eastAsiaTheme="minorEastAsia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2020-07-16T05:08:00Z</dcterms:created>
  <dcterms:modified xsi:type="dcterms:W3CDTF">2020-07-16T05:09:00Z</dcterms:modified>
</cp:coreProperties>
</file>